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b/>
          <w:bCs w:val="0"/>
          <w:w w:val="150"/>
          <w:sz w:val="96"/>
          <w:szCs w:val="96"/>
          <w:lang w:val="en-US"/>
        </w:rPr>
      </w:pPr>
      <w:bookmarkStart w:id="2" w:name="_GoBack"/>
      <w:bookmarkEnd w:id="2"/>
      <w:r>
        <w:rPr>
          <w:rFonts w:hint="default" w:ascii="Times New Roman" w:hAnsi="Times New Roman" w:eastAsia="宋体" w:cs="Times New Roman"/>
          <w:b/>
          <w:bCs w:val="0"/>
          <w:w w:val="150"/>
          <w:kern w:val="2"/>
          <w:sz w:val="96"/>
          <w:szCs w:val="96"/>
          <w:lang w:val="en-US" w:eastAsia="zh-CN" w:bidi="ar"/>
        </w:rPr>
        <w:t xml:space="preserve"> Q/PHT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default" w:ascii="Times New Roman" w:hAnsi="Times New Roman" w:eastAsia="黑体" w:cs="Times New Roman"/>
          <w:spacing w:val="20"/>
          <w:sz w:val="44"/>
          <w:szCs w:val="44"/>
          <w:lang w:val="en-US"/>
        </w:rPr>
      </w:pPr>
      <w:r>
        <w:rPr>
          <w:rFonts w:hint="eastAsia" w:ascii="Times New Roman" w:hAnsi="Times New Roman" w:eastAsia="黑体" w:cs="黑体"/>
          <w:spacing w:val="20"/>
          <w:kern w:val="2"/>
          <w:sz w:val="44"/>
          <w:szCs w:val="44"/>
          <w:lang w:val="en-US" w:eastAsia="zh-CN" w:bidi="ar"/>
        </w:rPr>
        <w:t>云南品斛堂生物科技有限公司企业标准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黑体" w:cs="Times New Roman"/>
          <w:spacing w:val="20"/>
          <w:sz w:val="28"/>
          <w:szCs w:val="28"/>
          <w:lang w:val="en-US"/>
        </w:rPr>
      </w:pPr>
      <w:r>
        <w:rPr>
          <w:rFonts w:hint="default" w:ascii="Times New Roman" w:hAnsi="Times New Roman" w:eastAsia="黑体" w:cs="Times New Roman"/>
          <w:spacing w:val="20"/>
          <w:kern w:val="2"/>
          <w:sz w:val="28"/>
          <w:szCs w:val="28"/>
          <w:lang w:val="en-US" w:eastAsia="zh-CN" w:bidi="ar"/>
        </w:rPr>
        <w:t>Q/PHT 0012S-2022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 w:val="28"/>
          <w:szCs w:val="28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468pt;z-index:251659264;mso-width-relative:page;mso-height-relative:page;" filled="f" stroked="t" coordsize="21600,21600" o:gfxdata="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LYXZETSAAAAAgEAAA8A&#10;AAAAAAAAAQAgAAAAOAAAAGRycy9kb3ducmV2LnhtbFBLAQIUABQAAAAIAIdO4kDlVYlfzgEAAI0D&#10;AAAOAAAAAAAAAAEAIAAAADcBAABkcnMvZTJvRG9jLnhtbFBLBQYAAAAABgAGAFkBAAB3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spacing w:val="20"/>
          <w:sz w:val="52"/>
          <w:szCs w:val="52"/>
          <w:lang w:val="en-US"/>
        </w:rPr>
      </w:pPr>
      <w:r>
        <w:rPr>
          <w:rFonts w:hint="eastAsia" w:ascii="Times New Roman" w:hAnsi="Times New Roman" w:eastAsia="黑体" w:cs="黑体"/>
          <w:spacing w:val="20"/>
          <w:kern w:val="2"/>
          <w:sz w:val="52"/>
          <w:szCs w:val="52"/>
          <w:lang w:val="en-US" w:eastAsia="zh-CN" w:bidi="ar"/>
        </w:rPr>
        <w:t>代用茶</w:t>
      </w: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pStyle w:val="4"/>
        <w:widowControl/>
        <w:spacing w:before="0" w:beforeAutospacing="0" w:after="0" w:afterAutospacing="0"/>
        <w:ind w:left="0" w:right="0" w:firstLine="360"/>
        <w:rPr>
          <w:rFonts w:hint="default" w:ascii="Times New Roman" w:hAnsi="Times New Roman" w:cs="Times New Roman"/>
          <w:color w:val="0000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pacing w:val="20"/>
          <w:sz w:val="28"/>
          <w:szCs w:val="28"/>
          <w:lang w:val="en-US"/>
        </w:rPr>
      </w:pPr>
      <w:r>
        <w:rPr>
          <w:rFonts w:hint="default" w:ascii="Times New Roman" w:hAnsi="Times New Roman" w:eastAsia="黑体" w:cs="Times New Roman"/>
          <w:spacing w:val="20"/>
          <w:kern w:val="2"/>
          <w:sz w:val="28"/>
          <w:szCs w:val="28"/>
          <w:lang w:val="en-US" w:eastAsia="zh-CN" w:bidi="ar"/>
        </w:rPr>
        <w:t>2022-XX-XX</w:t>
      </w:r>
      <w:r>
        <w:rPr>
          <w:rFonts w:hint="eastAsia" w:ascii="Times New Roman" w:hAnsi="Times New Roman" w:eastAsia="黑体" w:cs="黑体"/>
          <w:spacing w:val="20"/>
          <w:kern w:val="2"/>
          <w:sz w:val="28"/>
          <w:szCs w:val="28"/>
          <w:lang w:val="en-US" w:eastAsia="zh-CN" w:bidi="ar"/>
        </w:rPr>
        <w:t>发布</w:t>
      </w:r>
      <w:r>
        <w:rPr>
          <w:rFonts w:hint="default" w:ascii="Times New Roman" w:hAnsi="Times New Roman" w:eastAsia="黑体" w:cs="Times New Roman"/>
          <w:spacing w:val="20"/>
          <w:kern w:val="2"/>
          <w:sz w:val="28"/>
          <w:szCs w:val="28"/>
          <w:lang w:val="en-US" w:eastAsia="zh-CN" w:bidi="ar"/>
        </w:rPr>
        <w:t xml:space="preserve">                        2022-XX-XX</w:t>
      </w:r>
      <w:r>
        <w:rPr>
          <w:rFonts w:hint="eastAsia" w:ascii="Times New Roman" w:hAnsi="Times New Roman" w:eastAsia="黑体" w:cs="黑体"/>
          <w:spacing w:val="20"/>
          <w:kern w:val="2"/>
          <w:sz w:val="28"/>
          <w:szCs w:val="28"/>
          <w:lang w:val="en-US" w:eastAsia="zh-CN" w:bidi="ar"/>
        </w:rPr>
        <w:t>实施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spacing w:val="20"/>
          <w:sz w:val="28"/>
          <w:szCs w:val="28"/>
          <w:lang w:val="en-US"/>
        </w:rPr>
      </w:pPr>
      <w:r>
        <w:rPr>
          <w:rStyle w:val="17"/>
          <w:rFonts w:hAnsi="Calibri"/>
          <w:kern w:val="2"/>
          <w:sz w:val="28"/>
          <w:szCs w:val="24"/>
          <w:lang w:val="en-US" w:eastAsia="zh-CN" w:bidi="ar"/>
        </w:rPr>
        <w:t>云南品斛堂生物科技有限公司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4705" cy="63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pt;height:0.05pt;width:464.15pt;z-index:251660288;mso-width-relative:page;mso-height-relative:page;" filled="f" stroked="t" coordsize="21600,21600" o:gfxdata="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xyhCi0wAAAAIBAAAP&#10;AAAAAAAAAAEAIAAAADgAAABkcnMvZG93bnJldi54bWxQSwECFAAUAAAACACHTuJAFVIc/84BAACP&#10;AwAADgAAAAAAAAABACAAAAA4AQAAZHJzL2Uyb0RvYy54bWxQSwUGAAAAAAYABgBZAQAAeA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spacing w:val="2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spacing w:val="20"/>
          <w:kern w:val="2"/>
          <w:sz w:val="28"/>
          <w:szCs w:val="28"/>
          <w:lang w:val="en-US" w:eastAsia="zh-CN" w:bidi="ar"/>
        </w:rPr>
        <w:t>发布</w:t>
      </w:r>
    </w:p>
    <w:p>
      <w:pPr>
        <w:rPr>
          <w:rFonts w:hint="default" w:ascii="Times New Roman" w:hAnsi="Times New Roman" w:eastAsia="黑体" w:cs="Times New Roman"/>
          <w:spacing w:val="20"/>
          <w:kern w:val="2"/>
          <w:sz w:val="28"/>
          <w:szCs w:val="28"/>
          <w:lang w:val="en-US" w:eastAsia="zh-CN" w:bidi="ar"/>
        </w:rPr>
        <w:sectPr>
          <w:pgSz w:w="11906" w:h="16838"/>
          <w:pgMar w:top="1135" w:right="1135" w:bottom="1135" w:left="1418" w:header="851" w:footer="992" w:gutter="0"/>
          <w:cols w:space="425" w:num="1"/>
          <w:docGrid w:type="lines" w:linePitch="312" w:charSpace="0"/>
        </w:sectPr>
      </w:pPr>
    </w:p>
    <w:p>
      <w:pPr>
        <w:pStyle w:val="16"/>
        <w:widowControl/>
      </w:pPr>
      <w:r>
        <w:rPr>
          <w:lang w:eastAsia="zh-CN"/>
        </w:rPr>
        <w:t>前</w:t>
      </w:r>
      <w:bookmarkStart w:id="0" w:name="BKQY"/>
      <w:r>
        <w:rPr>
          <w:rFonts w:hint="eastAsia" w:ascii="MS Mincho" w:hAnsi="MS Mincho" w:eastAsia="MS Mincho" w:cs="MS Mincho"/>
          <w:lang w:eastAsia="zh-CN"/>
        </w:rPr>
        <w:t>  </w:t>
      </w:r>
      <w:r>
        <w:rPr>
          <w:lang w:eastAsia="zh-CN"/>
        </w:rPr>
        <w:t>言</w:t>
      </w:r>
      <w:bookmarkEnd w:id="0"/>
    </w:p>
    <w:p>
      <w:pPr>
        <w:pStyle w:val="11"/>
        <w:widowControl/>
      </w:pPr>
      <w:r>
        <w:rPr>
          <w:lang w:eastAsia="zh-CN"/>
        </w:rPr>
        <w:t>我公司生产的代用茶是以干制紫皮石斛、大枣、枸杞、桑葚等可食用原辅料中的一种或几种为原料，经挑拣、包装等工艺制成。根据《中华人民共和国标准化法》《中华人民共和国食品安全法》的规定，特制订本标准，作为企业组织生产、检验、贸易、仲裁的依据。</w:t>
      </w:r>
    </w:p>
    <w:p>
      <w:pPr>
        <w:pStyle w:val="11"/>
        <w:widowControl/>
      </w:pPr>
      <w:r>
        <w:rPr>
          <w:lang w:eastAsia="zh-CN"/>
        </w:rPr>
        <w:t>本标准的安全性指标按照</w:t>
      </w:r>
      <w:r>
        <w:rPr>
          <w:rFonts w:hint="default" w:ascii="Times New Roman" w:hAnsi="Times New Roman" w:cs="Times New Roman"/>
          <w:lang w:val="en-US"/>
        </w:rPr>
        <w:t xml:space="preserve">GB 2762-2022 </w:t>
      </w:r>
      <w:r>
        <w:rPr>
          <w:rFonts w:ascii="Times New Roman"/>
          <w:lang w:eastAsia="zh-CN"/>
        </w:rPr>
        <w:t>《食品安全国家标准</w:t>
      </w:r>
      <w:r>
        <w:rPr>
          <w:rFonts w:hint="default" w:ascii="Times New Roman" w:hAnsi="Times New Roman" w:cs="Times New Roman"/>
          <w:lang w:eastAsia="zh-CN"/>
        </w:rPr>
        <w:t xml:space="preserve"> </w:t>
      </w:r>
      <w:r>
        <w:rPr>
          <w:rFonts w:ascii="Times New Roman"/>
          <w:lang w:eastAsia="zh-CN"/>
        </w:rPr>
        <w:t>食品中污染物限量》、</w:t>
      </w:r>
      <w:r>
        <w:rPr>
          <w:rFonts w:hint="default" w:ascii="Times New Roman" w:hAnsi="Times New Roman" w:cs="Times New Roman"/>
          <w:lang w:val="en-US"/>
        </w:rPr>
        <w:t>GB 2763-2021</w:t>
      </w:r>
      <w:r>
        <w:rPr>
          <w:rFonts w:hAnsi="宋体"/>
          <w:color w:val="000000"/>
          <w:szCs w:val="21"/>
          <w:lang w:eastAsia="zh-CN"/>
        </w:rPr>
        <w:t>《食品安全国家标准 食品中农药最大残留限量》的规定。其中铅指标限量严于食品安全国家标准，其余指标根据产品实际制定。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本标准由云南品斛堂生物科技有限公司提出、起草并解释。</w:t>
      </w:r>
    </w:p>
    <w:p>
      <w:pPr>
        <w:pStyle w:val="11"/>
        <w:widowControl/>
        <w:jc w:val="left"/>
      </w:pPr>
      <w:r>
        <w:rPr>
          <w:rFonts w:hAnsi="宋体"/>
          <w:color w:val="000000"/>
          <w:szCs w:val="21"/>
          <w:lang w:eastAsia="zh-CN"/>
        </w:rPr>
        <w:t>本标准主要 起草人：</w:t>
      </w:r>
      <w:r>
        <w:rPr>
          <w:lang w:eastAsia="zh-CN"/>
        </w:rPr>
        <w:t>徐亮 程建胜 邓慧成。</w:t>
      </w:r>
    </w:p>
    <w:p>
      <w:pPr>
        <w:rPr>
          <w:rFonts w:hint="eastAsia" w:ascii="宋体" w:hAnsi="Times New Roman" w:eastAsia="宋体" w:cs="Times New Roman"/>
          <w:sz w:val="21"/>
          <w:szCs w:val="20"/>
          <w:lang w:val="en-US" w:eastAsia="zh-CN" w:bidi="ar"/>
        </w:rPr>
        <w:sectPr>
          <w:pgSz w:w="11906" w:h="16838"/>
          <w:pgMar w:top="567" w:right="1135" w:bottom="1135" w:left="1418" w:header="1418" w:footer="1135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21"/>
        <w:widowControl/>
      </w:pPr>
      <w:r>
        <w:rPr>
          <w:lang w:eastAsia="zh-CN"/>
        </w:rPr>
        <w:t>代</w:t>
      </w:r>
      <w:bookmarkStart w:id="1" w:name="StandardName"/>
      <w:r>
        <w:rPr>
          <w:lang w:eastAsia="zh-CN"/>
        </w:rPr>
        <w:t>用茶</w:t>
      </w:r>
      <w:bookmarkEnd w:id="1"/>
    </w:p>
    <w:p>
      <w:pPr>
        <w:pStyle w:val="15"/>
        <w:widowControl/>
        <w:numPr>
          <w:ilvl w:val="0"/>
          <w:numId w:val="2"/>
        </w:numPr>
        <w:spacing w:before="0" w:beforeLines="0" w:beforeAutospacing="0" w:after="0" w:afterLines="0" w:afterAutospacing="0"/>
        <w:ind w:left="0" w:right="0" w:firstLine="0"/>
      </w:pPr>
      <w:r>
        <w:rPr>
          <w:lang w:eastAsia="zh-CN"/>
        </w:rPr>
        <w:t>范围</w:t>
      </w:r>
    </w:p>
    <w:p>
      <w:pPr>
        <w:pStyle w:val="11"/>
        <w:widowControl/>
      </w:pPr>
      <w:r>
        <w:rPr>
          <w:lang w:eastAsia="zh-CN"/>
        </w:rPr>
        <w:t>本标准规定了代用茶的产品分类、技术要求、生产加工过程的卫生要求、试验方法、检验规则、标志、包装、运输、贮存。</w:t>
      </w:r>
    </w:p>
    <w:p>
      <w:pPr>
        <w:pStyle w:val="11"/>
        <w:widowControl/>
      </w:pPr>
      <w:r>
        <w:rPr>
          <w:lang w:eastAsia="zh-CN"/>
        </w:rPr>
        <w:t>本标准适用于以干制紫皮石斛、大枣、枸杞、桑葚等可食用原辅料中的一种或几种为原料，经挑拣、包装等工艺制成代用茶。</w:t>
      </w:r>
    </w:p>
    <w:p>
      <w:pPr>
        <w:pStyle w:val="15"/>
        <w:widowControl/>
        <w:numPr>
          <w:ilvl w:val="0"/>
          <w:numId w:val="2"/>
        </w:numPr>
        <w:spacing w:before="0" w:beforeLines="0" w:beforeAutospacing="0" w:after="0" w:afterLines="0" w:afterAutospacing="0"/>
        <w:ind w:left="0" w:right="0" w:firstLine="0"/>
      </w:pPr>
      <w:r>
        <w:rPr>
          <w:lang w:eastAsia="zh-CN"/>
        </w:rPr>
        <w:t>规范性引用文件</w:t>
      </w:r>
      <w:r>
        <w:rPr>
          <w:lang w:val="en-US"/>
        </w:rPr>
        <w:t xml:space="preserve">  </w:t>
      </w:r>
    </w:p>
    <w:p>
      <w:pPr>
        <w:pStyle w:val="11"/>
        <w:widowControl/>
      </w:pPr>
      <w:r>
        <w:rPr>
          <w:lang w:eastAsia="zh-CN"/>
        </w:rPr>
        <w:t>本文件中所列文件对于本文件的应用是必不可少的。凡是注日期的引用文件，仅所注日期的版本适用于本文件。凡是不注日期的引用文件，其最新版本（包括所有的修改单）适用于本文件。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15"/>
        <w:widowControl/>
        <w:numPr>
          <w:ilvl w:val="0"/>
          <w:numId w:val="2"/>
        </w:numPr>
        <w:spacing w:before="0" w:beforeLines="0" w:beforeAutospacing="0" w:after="0" w:afterLines="0" w:afterAutospacing="0"/>
        <w:ind w:left="0" w:right="0" w:firstLine="0"/>
      </w:pPr>
      <w:r>
        <w:rPr>
          <w:lang w:eastAsia="zh-CN"/>
        </w:rPr>
        <w:t>产品分类</w:t>
      </w:r>
    </w:p>
    <w:p>
      <w:pPr>
        <w:pStyle w:val="11"/>
        <w:widowControl/>
      </w:pPr>
      <w:r>
        <w:rPr>
          <w:lang w:eastAsia="zh-CN"/>
        </w:rPr>
        <w:t>根据配料不同分为单品类代用茶、</w:t>
      </w:r>
      <w:r>
        <w:rPr>
          <w:rFonts w:ascii="Times New Roman"/>
          <w:kern w:val="2"/>
          <w:szCs w:val="24"/>
          <w:lang w:eastAsia="zh-CN"/>
        </w:rPr>
        <w:t>混合类代用茶。</w:t>
      </w:r>
    </w:p>
    <w:p>
      <w:pPr>
        <w:pStyle w:val="15"/>
        <w:widowControl/>
        <w:numPr>
          <w:ilvl w:val="0"/>
          <w:numId w:val="2"/>
        </w:numPr>
        <w:spacing w:before="0" w:beforeLines="0" w:beforeAutospacing="0" w:after="0" w:afterLines="0" w:afterAutospacing="0"/>
        <w:ind w:left="0" w:right="0" w:firstLine="0"/>
      </w:pPr>
      <w:r>
        <w:rPr>
          <w:lang w:eastAsia="zh-CN"/>
        </w:rPr>
        <w:t>技术要求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Ansi="宋体"/>
          <w:szCs w:val="20"/>
          <w:lang w:val="en-US"/>
        </w:rPr>
      </w:pPr>
      <w:r>
        <w:rPr>
          <w:rFonts w:hAnsi="宋体"/>
          <w:lang w:eastAsia="zh-CN"/>
        </w:rPr>
        <w:t>原辅料要求</w:t>
      </w:r>
    </w:p>
    <w:p>
      <w:pPr>
        <w:pStyle w:val="12"/>
        <w:widowControl/>
        <w:numPr>
          <w:ilvl w:val="2"/>
          <w:numId w:val="2"/>
        </w:numPr>
        <w:tabs>
          <w:tab w:val="left" w:pos="420"/>
          <w:tab w:val="clear" w:pos="1418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eastAsia="宋体" w:cs="Times New Roman"/>
          <w:kern w:val="2"/>
          <w:szCs w:val="20"/>
          <w:lang w:val="en-US"/>
        </w:rPr>
      </w:pPr>
      <w:r>
        <w:rPr>
          <w:rFonts w:hint="eastAsia" w:ascii="宋体" w:hAnsi="Times New Roman" w:eastAsia="宋体" w:cs="宋体"/>
          <w:szCs w:val="20"/>
          <w:lang w:eastAsia="zh-CN"/>
        </w:rPr>
        <w:t>紫皮石斛：</w:t>
      </w:r>
      <w:r>
        <w:rPr>
          <w:rFonts w:hint="eastAsia" w:ascii="Times New Roman" w:hAnsi="Times New Roman" w:eastAsia="宋体" w:cs="宋体"/>
          <w:kern w:val="2"/>
          <w:szCs w:val="20"/>
          <w:lang w:eastAsia="zh-CN"/>
        </w:rPr>
        <w:t>应符合</w:t>
      </w:r>
      <w:r>
        <w:rPr>
          <w:rFonts w:hint="default" w:ascii="Times New Roman" w:hAnsi="Times New Roman" w:eastAsia="宋体" w:cs="Times New Roman"/>
          <w:kern w:val="2"/>
          <w:szCs w:val="20"/>
          <w:lang w:val="en-US"/>
        </w:rPr>
        <w:t>DBS 53/027</w:t>
      </w:r>
      <w:r>
        <w:rPr>
          <w:rFonts w:hint="eastAsia" w:ascii="Times New Roman" w:hAnsi="Times New Roman" w:eastAsia="宋体" w:cs="宋体"/>
          <w:kern w:val="2"/>
          <w:szCs w:val="20"/>
          <w:lang w:eastAsia="zh-CN"/>
        </w:rPr>
        <w:t>的规定。</w:t>
      </w:r>
    </w:p>
    <w:p>
      <w:pPr>
        <w:pStyle w:val="22"/>
        <w:widowControl/>
        <w:numPr>
          <w:ilvl w:val="2"/>
          <w:numId w:val="2"/>
        </w:numPr>
        <w:tabs>
          <w:tab w:val="left" w:pos="420"/>
          <w:tab w:val="clear" w:pos="1418"/>
        </w:tabs>
        <w:ind w:lef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桑葚：</w:t>
      </w:r>
      <w:r>
        <w:rPr>
          <w:rFonts w:ascii="Times New Roman"/>
          <w:kern w:val="2"/>
          <w:szCs w:val="20"/>
          <w:lang w:eastAsia="zh-CN"/>
        </w:rPr>
        <w:t>应符合</w:t>
      </w:r>
      <w:r>
        <w:rPr>
          <w:rFonts w:hint="default" w:ascii="Times New Roman" w:hAnsi="Times New Roman" w:cs="Times New Roman"/>
          <w:lang w:val="en-US"/>
        </w:rPr>
        <w:t>GB/T 29572</w:t>
      </w:r>
      <w:r>
        <w:rPr>
          <w:rFonts w:ascii="Times New Roman"/>
          <w:lang w:eastAsia="zh-CN"/>
        </w:rPr>
        <w:t>的规定。</w:t>
      </w:r>
    </w:p>
    <w:p>
      <w:pPr>
        <w:pStyle w:val="22"/>
        <w:widowControl/>
        <w:numPr>
          <w:ilvl w:val="2"/>
          <w:numId w:val="2"/>
        </w:numPr>
        <w:tabs>
          <w:tab w:val="left" w:pos="420"/>
          <w:tab w:val="clear" w:pos="1418"/>
        </w:tabs>
        <w:ind w:lef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枸杞：</w:t>
      </w:r>
      <w:r>
        <w:rPr>
          <w:rFonts w:ascii="Times New Roman"/>
          <w:kern w:val="2"/>
          <w:szCs w:val="20"/>
          <w:lang w:eastAsia="zh-CN"/>
        </w:rPr>
        <w:t>应符合</w:t>
      </w:r>
      <w:r>
        <w:rPr>
          <w:rFonts w:hint="default" w:ascii="Times New Roman" w:hAnsi="Times New Roman" w:cs="Times New Roman"/>
          <w:lang w:val="en-US"/>
        </w:rPr>
        <w:t>GB/T 18672</w:t>
      </w:r>
      <w:r>
        <w:rPr>
          <w:rFonts w:ascii="Times New Roman"/>
          <w:lang w:eastAsia="zh-CN"/>
        </w:rPr>
        <w:t>的规定。</w:t>
      </w:r>
    </w:p>
    <w:p>
      <w:pPr>
        <w:pStyle w:val="12"/>
        <w:widowControl/>
        <w:numPr>
          <w:ilvl w:val="2"/>
          <w:numId w:val="2"/>
        </w:numPr>
        <w:tabs>
          <w:tab w:val="left" w:pos="420"/>
          <w:tab w:val="clear" w:pos="1418"/>
        </w:tabs>
        <w:spacing w:before="0" w:beforeLines="0" w:beforeAutospacing="0" w:after="0" w:afterLines="0" w:afterAutospacing="0"/>
        <w:ind w:left="0" w:right="0" w:firstLine="0"/>
        <w:rPr>
          <w:rFonts w:hint="eastAsia" w:ascii="宋体" w:hAnsi="Times New Roman" w:eastAsia="宋体" w:cs="宋体"/>
          <w:szCs w:val="20"/>
          <w:lang w:val="en-US"/>
        </w:rPr>
      </w:pPr>
      <w:r>
        <w:rPr>
          <w:rFonts w:hint="eastAsia" w:ascii="宋体" w:hAnsi="Times New Roman" w:eastAsia="宋体" w:cs="宋体"/>
          <w:szCs w:val="20"/>
          <w:lang w:eastAsia="zh-CN"/>
        </w:rPr>
        <w:t>其他原辅料：应符合相应的食品标准及有关规定，不得使用非食品原料及辅料。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Ansi="宋体"/>
          <w:lang w:val="en-US"/>
        </w:rPr>
      </w:pPr>
      <w:r>
        <w:rPr>
          <w:rFonts w:hAnsi="宋体"/>
          <w:lang w:eastAsia="zh-CN"/>
        </w:rPr>
        <w:t>感观要求</w:t>
      </w:r>
      <w:r>
        <w:rPr>
          <w:rFonts w:hAnsi="宋体"/>
          <w:lang w:val="en-US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应符合表1规定。</w:t>
      </w:r>
    </w:p>
    <w:p>
      <w:pPr>
        <w:pStyle w:val="18"/>
        <w:widowControl/>
        <w:numPr>
          <w:ilvl w:val="0"/>
          <w:numId w:val="1"/>
        </w:numPr>
        <w:tabs>
          <w:tab w:val="left" w:pos="420"/>
          <w:tab w:val="clear" w:pos="360"/>
        </w:tabs>
        <w:spacing w:beforeLines="50" w:beforeAutospacing="0" w:afterLines="50" w:afterAutospacing="0"/>
        <w:ind w:left="0" w:right="0" w:firstLine="0"/>
        <w:jc w:val="center"/>
      </w:pPr>
      <w:r>
        <w:rPr>
          <w:lang w:eastAsia="zh-CN"/>
        </w:rPr>
        <w:t>感官要求</w:t>
      </w:r>
    </w:p>
    <w:tbl>
      <w:tblPr>
        <w:tblStyle w:val="7"/>
        <w:tblW w:w="9465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4704"/>
        <w:gridCol w:w="3234"/>
      </w:tblGrid>
      <w:tr>
        <w:tblPrEx>
          <w:shd w:val="clear" w:color="auto" w:fill="auto"/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项</w:t>
            </w:r>
            <w:r>
              <w:rPr>
                <w:rFonts w:hint="default" w:ascii="Calibri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目</w:t>
            </w: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要</w:t>
            </w:r>
            <w:r>
              <w:rPr>
                <w:rFonts w:hint="default" w:ascii="Calibri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求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检验方法</w:t>
            </w:r>
          </w:p>
        </w:tc>
      </w:tr>
      <w:t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外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观</w:t>
            </w: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具有各产品固有的色泽，无劣变、霉变、无杂质。</w:t>
            </w:r>
          </w:p>
        </w:tc>
        <w:tc>
          <w:tcPr>
            <w:tcW w:w="3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按照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GH/T 1091</w:t>
            </w:r>
            <w:r>
              <w:rPr>
                <w:rFonts w:hint="eastAsia" w:ascii="Times New Roman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附录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hint="eastAsia" w:ascii="Times New Roman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中感官指标检验方法。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汤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色</w:t>
            </w: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具有各产品固有的汤色。</w:t>
            </w:r>
          </w:p>
        </w:tc>
        <w:tc>
          <w:tcPr>
            <w:tcW w:w="3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香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气</w:t>
            </w: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具有各产品固有的香气，无异气味。</w:t>
            </w:r>
          </w:p>
        </w:tc>
        <w:tc>
          <w:tcPr>
            <w:tcW w:w="3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滋</w:t>
            </w:r>
            <w:r>
              <w:rPr>
                <w:rFonts w:hint="default" w:ascii="Calibri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味</w:t>
            </w:r>
          </w:p>
        </w:tc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0" w:firstLineChars="5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具有各产品固有的滋味，无异味。</w:t>
            </w:r>
          </w:p>
        </w:tc>
        <w:tc>
          <w:tcPr>
            <w:tcW w:w="3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eastAsia" w:ascii="宋体" w:hAnsi="宋体" w:eastAsia="宋体" w:cs="宋体"/>
          <w:lang w:val="en-US"/>
        </w:rPr>
      </w:pPr>
      <w:r>
        <w:rPr>
          <w:rFonts w:hAnsi="宋体"/>
          <w:lang w:eastAsia="zh-CN"/>
        </w:rPr>
        <w:t>理化指标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Times New Roman" w:hAnsi="宋体" w:eastAsia="宋体" w:cs="宋体"/>
          <w:color w:val="000000"/>
          <w:kern w:val="2"/>
          <w:sz w:val="21"/>
          <w:szCs w:val="21"/>
          <w:lang w:val="en-US" w:eastAsia="zh-CN" w:bidi="ar"/>
        </w:rPr>
        <w:t>应符合表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color w:val="000000"/>
          <w:kern w:val="2"/>
          <w:sz w:val="21"/>
          <w:szCs w:val="21"/>
          <w:lang w:val="en-US" w:eastAsia="zh-CN" w:bidi="ar"/>
        </w:rPr>
        <w:t>的规定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。</w:t>
      </w:r>
    </w:p>
    <w:p>
      <w:pPr>
        <w:pStyle w:val="18"/>
        <w:widowControl/>
        <w:numPr>
          <w:ilvl w:val="0"/>
          <w:numId w:val="1"/>
        </w:numPr>
        <w:tabs>
          <w:tab w:val="left" w:pos="420"/>
          <w:tab w:val="clear" w:pos="360"/>
        </w:tabs>
        <w:spacing w:beforeLines="50" w:beforeAutospacing="0" w:afterLines="50" w:afterAutospacing="0"/>
        <w:ind w:left="0" w:right="0" w:firstLine="0"/>
        <w:jc w:val="center"/>
        <w:rPr>
          <w:rFonts w:hint="eastAsia" w:ascii="宋体" w:hAnsi="宋体" w:eastAsia="黑体" w:cs="宋体"/>
          <w:color w:val="000000"/>
          <w:szCs w:val="21"/>
          <w:lang w:val="en-US"/>
        </w:rPr>
      </w:pPr>
      <w:r>
        <w:rPr>
          <w:rFonts w:ascii="宋体" w:hAnsi="宋体"/>
          <w:color w:val="000000"/>
          <w:szCs w:val="21"/>
          <w:lang w:eastAsia="zh-CN"/>
        </w:rPr>
        <w:t>理化指标</w:t>
      </w:r>
    </w:p>
    <w:tbl>
      <w:tblPr>
        <w:tblStyle w:val="7"/>
        <w:tblW w:w="9465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3403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项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目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指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标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水分</w:t>
            </w:r>
            <w:r>
              <w:rPr>
                <w:rFonts w:hint="eastAsia" w:ascii="Times New Roman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%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≤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12.0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总灰分，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%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≤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12.0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GB 5009.4</w:t>
            </w:r>
          </w:p>
        </w:tc>
      </w:tr>
    </w:tbl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宋体"/>
          <w:lang w:eastAsia="zh-CN"/>
        </w:rPr>
        <w:t>卫生指标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应符合</w:t>
      </w:r>
      <w:r>
        <w:rPr>
          <w:rFonts w:hint="default" w:ascii="Times New Roman" w:hAnsi="Times New Roman" w:cs="Times New Roman"/>
          <w:lang w:val="en-US"/>
        </w:rPr>
        <w:t>GB 2762</w:t>
      </w:r>
      <w:r>
        <w:rPr>
          <w:rFonts w:ascii="Times New Roman"/>
          <w:lang w:eastAsia="zh-CN"/>
        </w:rPr>
        <w:t>的规定，严于食品安全国家标准的指标应符合表</w:t>
      </w:r>
      <w:r>
        <w:rPr>
          <w:rFonts w:hint="default" w:ascii="Times New Roman" w:hAnsi="Times New Roman" w:cs="Times New Roman"/>
          <w:lang w:val="en-US"/>
        </w:rPr>
        <w:t>3</w:t>
      </w:r>
      <w:r>
        <w:rPr>
          <w:rFonts w:ascii="Times New Roman"/>
          <w:lang w:eastAsia="zh-CN"/>
        </w:rPr>
        <w:t>的规定。</w:t>
      </w:r>
    </w:p>
    <w:p>
      <w:pPr>
        <w:pStyle w:val="18"/>
        <w:widowControl/>
        <w:numPr>
          <w:ilvl w:val="0"/>
          <w:numId w:val="1"/>
        </w:numPr>
        <w:tabs>
          <w:tab w:val="left" w:pos="420"/>
          <w:tab w:val="clear" w:pos="360"/>
        </w:tabs>
        <w:spacing w:beforeLines="50" w:beforeAutospacing="0" w:afterLines="50" w:afterAutospacing="0"/>
        <w:ind w:left="0" w:right="0" w:firstLine="0"/>
        <w:jc w:val="center"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污染物限量</w:t>
      </w:r>
    </w:p>
    <w:tbl>
      <w:tblPr>
        <w:tblStyle w:val="7"/>
        <w:tblW w:w="9465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3403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目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标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铅（以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Pb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计）</w:t>
            </w:r>
            <w:r>
              <w:rPr>
                <w:rFonts w:hint="eastAsia" w:ascii="Times New Roman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mg/kg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≤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4.0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GB 5009.12</w:t>
            </w:r>
          </w:p>
        </w:tc>
      </w:tr>
    </w:tbl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宋体"/>
          <w:lang w:eastAsia="zh-CN"/>
        </w:rPr>
        <w:t>农药残留限量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应符合</w:t>
      </w:r>
      <w:r>
        <w:rPr>
          <w:rFonts w:hint="default" w:ascii="Times New Roman" w:hAnsi="Times New Roman" w:cs="Times New Roman"/>
          <w:lang w:val="en-US"/>
        </w:rPr>
        <w:t>GB 2763</w:t>
      </w:r>
      <w:r>
        <w:rPr>
          <w:rFonts w:ascii="Times New Roman"/>
          <w:lang w:eastAsia="zh-CN"/>
        </w:rPr>
        <w:t>的规定。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宋体"/>
          <w:lang w:eastAsia="zh-CN"/>
        </w:rPr>
        <w:t>净含量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应符合《定量包装商品计量监督管理办法》的规定，并按照</w:t>
      </w:r>
      <w:r>
        <w:rPr>
          <w:rFonts w:hint="default" w:ascii="Times New Roman" w:hAnsi="Times New Roman" w:cs="Times New Roman"/>
          <w:lang w:val="en-US"/>
        </w:rPr>
        <w:t>JJF 1070</w:t>
      </w:r>
      <w:r>
        <w:rPr>
          <w:rFonts w:ascii="Times New Roman"/>
          <w:lang w:eastAsia="zh-CN"/>
        </w:rPr>
        <w:t>规定的方法测定。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食品添加剂</w:t>
      </w:r>
    </w:p>
    <w:p>
      <w:pPr>
        <w:pStyle w:val="22"/>
        <w:widowControl/>
        <w:numPr>
          <w:ilvl w:val="2"/>
          <w:numId w:val="2"/>
        </w:numPr>
        <w:tabs>
          <w:tab w:val="left" w:pos="420"/>
          <w:tab w:val="clear" w:pos="1418"/>
        </w:tabs>
        <w:ind w:lef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食品添加剂质量应符合相应的食品安全标准和有关规定。</w:t>
      </w:r>
    </w:p>
    <w:p>
      <w:pPr>
        <w:pStyle w:val="22"/>
        <w:widowControl/>
        <w:numPr>
          <w:ilvl w:val="2"/>
          <w:numId w:val="2"/>
        </w:numPr>
        <w:tabs>
          <w:tab w:val="left" w:pos="420"/>
          <w:tab w:val="clear" w:pos="1418"/>
        </w:tabs>
        <w:ind w:lef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食品添加剂的使用应符合</w:t>
      </w:r>
      <w:r>
        <w:rPr>
          <w:rFonts w:hint="default" w:ascii="Times New Roman" w:hAnsi="Times New Roman" w:cs="Times New Roman"/>
          <w:lang w:val="en-US"/>
        </w:rPr>
        <w:t>GB 2760</w:t>
      </w:r>
      <w:r>
        <w:rPr>
          <w:rFonts w:ascii="Times New Roman"/>
          <w:lang w:eastAsia="zh-CN"/>
        </w:rPr>
        <w:t>的规定。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宋体"/>
          <w:lang w:eastAsia="zh-CN"/>
        </w:rPr>
        <w:t>食品生产加工过程的卫生要求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应符合</w:t>
      </w:r>
      <w:r>
        <w:rPr>
          <w:rFonts w:hint="default" w:ascii="Times New Roman" w:hAnsi="Times New Roman" w:cs="Times New Roman"/>
          <w:lang w:val="en-US"/>
        </w:rPr>
        <w:t>GB 14881</w:t>
      </w:r>
      <w:r>
        <w:rPr>
          <w:rFonts w:ascii="Times New Roman"/>
          <w:lang w:eastAsia="zh-CN"/>
        </w:rPr>
        <w:t>的规定。</w:t>
      </w:r>
    </w:p>
    <w:p>
      <w:pPr>
        <w:pStyle w:val="15"/>
        <w:widowControl/>
        <w:numPr>
          <w:ilvl w:val="0"/>
          <w:numId w:val="2"/>
        </w:numPr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检验规则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宋体"/>
          <w:lang w:eastAsia="zh-CN"/>
        </w:rPr>
        <w:t>组批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同一品种的配料、同一次投料、同一工艺生产的同一规格产品为一个批次。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宋体"/>
          <w:lang w:eastAsia="zh-CN"/>
        </w:rPr>
        <w:t>抽样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  <w:r>
        <w:rPr>
          <w:rFonts w:ascii="Times New Roman"/>
          <w:lang w:eastAsia="zh-CN"/>
        </w:rPr>
        <w:t>从同一批次产品中随机抽取，抽样基数不得少于</w:t>
      </w:r>
      <w:r>
        <w:rPr>
          <w:rFonts w:hint="default" w:ascii="Times New Roman" w:hAnsi="Times New Roman" w:cs="Times New Roman"/>
          <w:lang w:val="en-US"/>
        </w:rPr>
        <w:t>100</w:t>
      </w:r>
      <w:r>
        <w:rPr>
          <w:rFonts w:ascii="Times New Roman"/>
          <w:lang w:eastAsia="zh-CN"/>
        </w:rPr>
        <w:t>个独立包装，总重量不少于</w:t>
      </w:r>
      <w:r>
        <w:rPr>
          <w:rFonts w:hint="default" w:ascii="Times New Roman" w:hAnsi="Times New Roman" w:cs="Times New Roman"/>
          <w:lang w:val="en-US"/>
        </w:rPr>
        <w:t>50kg</w:t>
      </w:r>
      <w:r>
        <w:rPr>
          <w:rFonts w:ascii="Times New Roman"/>
          <w:lang w:eastAsia="zh-CN"/>
        </w:rPr>
        <w:t>，抽取样品总数不得少于</w:t>
      </w:r>
      <w:r>
        <w:rPr>
          <w:rFonts w:hint="default" w:ascii="Times New Roman" w:hAnsi="Times New Roman" w:cs="Times New Roman"/>
          <w:lang w:val="en-US"/>
        </w:rPr>
        <w:t>40</w:t>
      </w:r>
      <w:r>
        <w:rPr>
          <w:rFonts w:ascii="Times New Roman"/>
          <w:lang w:eastAsia="zh-CN"/>
        </w:rPr>
        <w:t>个独立包装样品，总重不得少于</w:t>
      </w:r>
      <w:r>
        <w:rPr>
          <w:rFonts w:hint="default" w:ascii="Times New Roman" w:hAnsi="Times New Roman" w:cs="Times New Roman"/>
          <w:lang w:val="en-US"/>
        </w:rPr>
        <w:t>600g</w:t>
      </w:r>
      <w:r>
        <w:rPr>
          <w:rFonts w:ascii="Times New Roman"/>
          <w:lang w:eastAsia="zh-CN"/>
        </w:rPr>
        <w:t>，样品分为两份，一份用于检验，一份留样备查。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宋体"/>
          <w:lang w:eastAsia="zh-CN"/>
        </w:rPr>
        <w:t>出厂检验</w:t>
      </w:r>
    </w:p>
    <w:p>
      <w:pPr>
        <w:pStyle w:val="23"/>
        <w:widowControl/>
        <w:tabs>
          <w:tab w:val="left" w:pos="653"/>
        </w:tabs>
        <w:ind w:left="0"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每批产品出厂前须经本公司的质检部门检验合格，并签发检验合格证后方可出厂。出厂检验项目按相关的规定和要求执行。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Ansi="宋体"/>
          <w:lang w:val="en-US"/>
        </w:rPr>
      </w:pPr>
      <w:r>
        <w:rPr>
          <w:rFonts w:hAnsi="宋体"/>
          <w:lang w:eastAsia="zh-CN"/>
        </w:rPr>
        <w:t>型式检验</w:t>
      </w:r>
    </w:p>
    <w:p>
      <w:pPr>
        <w:pStyle w:val="23"/>
        <w:widowControl/>
        <w:tabs>
          <w:tab w:val="left" w:pos="653"/>
        </w:tabs>
        <w:ind w:left="0"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型式检验每半年检验一次，型式检验项目为本标准规定的全部检验项目，在有下列情况之一，亦应进行型式检验：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786" w:right="0" w:hanging="360"/>
        <w:jc w:val="both"/>
        <w:rPr>
          <w:color w:val="000000"/>
          <w:szCs w:val="21"/>
          <w:lang w:val="en-US"/>
        </w:rPr>
      </w:pPr>
      <w:r>
        <w:rPr>
          <w:rFonts w:hint="eastAsia" w:ascii="Calibri" w:hAnsi="Calibri" w:eastAsia="宋体" w:cs="宋体"/>
          <w:color w:val="000000"/>
          <w:kern w:val="2"/>
          <w:sz w:val="21"/>
          <w:szCs w:val="21"/>
          <w:lang w:val="en-US" w:eastAsia="zh-CN" w:bidi="ar"/>
        </w:rPr>
        <w:t>当原料、配方、生产工艺、生产设备发生较大变化时，可能影响产品质量时；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786" w:right="0" w:hanging="360"/>
        <w:jc w:val="both"/>
        <w:rPr>
          <w:color w:val="000000"/>
          <w:szCs w:val="21"/>
          <w:lang w:val="en-US"/>
        </w:rPr>
      </w:pPr>
      <w:r>
        <w:rPr>
          <w:rFonts w:hint="eastAsia" w:ascii="Calibri" w:hAnsi="宋体" w:eastAsia="宋体" w:cs="宋体"/>
          <w:color w:val="000000"/>
          <w:kern w:val="2"/>
          <w:sz w:val="21"/>
          <w:szCs w:val="21"/>
          <w:lang w:val="en-US" w:eastAsia="zh-CN" w:bidi="ar"/>
        </w:rPr>
        <w:t>停产半年以上重新恢复生产时；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786" w:right="0" w:hanging="360"/>
        <w:jc w:val="both"/>
        <w:rPr>
          <w:color w:val="000000"/>
          <w:szCs w:val="21"/>
          <w:lang w:val="en-US"/>
        </w:rPr>
      </w:pPr>
      <w:r>
        <w:rPr>
          <w:rFonts w:hint="eastAsia" w:ascii="Calibri" w:hAnsi="宋体" w:eastAsia="宋体" w:cs="宋体"/>
          <w:color w:val="000000"/>
          <w:kern w:val="2"/>
          <w:sz w:val="21"/>
          <w:szCs w:val="21"/>
          <w:lang w:val="en-US" w:eastAsia="zh-CN" w:bidi="ar"/>
        </w:rPr>
        <w:t>出厂检验结果与上一次型式检验结果有较大差异时；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786" w:right="0" w:hanging="360"/>
        <w:jc w:val="both"/>
        <w:rPr>
          <w:color w:val="000000"/>
          <w:szCs w:val="21"/>
          <w:lang w:val="en-US"/>
        </w:rPr>
      </w:pPr>
      <w:r>
        <w:rPr>
          <w:rFonts w:hint="eastAsia" w:ascii="Calibri" w:hAnsi="宋体" w:eastAsia="宋体" w:cs="宋体"/>
          <w:color w:val="000000"/>
          <w:kern w:val="2"/>
          <w:sz w:val="21"/>
          <w:szCs w:val="21"/>
          <w:lang w:val="en-US" w:eastAsia="zh-CN" w:bidi="ar"/>
        </w:rPr>
        <w:t>国家食品安全监督管理部门提出型式检验要求时。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Ansi="宋体"/>
          <w:lang w:val="en-US"/>
        </w:rPr>
      </w:pPr>
      <w:r>
        <w:rPr>
          <w:rFonts w:hAnsi="宋体"/>
          <w:lang w:eastAsia="zh-CN"/>
        </w:rPr>
        <w:t>判定规则</w:t>
      </w:r>
    </w:p>
    <w:p>
      <w:pPr>
        <w:pStyle w:val="12"/>
        <w:widowControl/>
        <w:numPr>
          <w:ilvl w:val="2"/>
          <w:numId w:val="0"/>
        </w:numPr>
        <w:tabs>
          <w:tab w:val="left" w:pos="420"/>
          <w:tab w:val="clear" w:pos="1418"/>
        </w:tabs>
        <w:spacing w:before="0" w:beforeLines="50" w:beforeAutospacing="0" w:after="0" w:afterLines="50" w:afterAutospacing="0"/>
        <w:ind w:right="0" w:firstLine="420" w:firstLineChars="200"/>
        <w:rPr>
          <w:rFonts w:hint="eastAsia" w:ascii="宋体" w:hAnsi="Times New Roman" w:eastAsia="宋体" w:cs="宋体"/>
          <w:szCs w:val="20"/>
          <w:lang w:val="en-US"/>
        </w:rPr>
      </w:pPr>
      <w:r>
        <w:rPr>
          <w:rFonts w:hint="eastAsia" w:ascii="宋体" w:hAnsi="Times New Roman" w:eastAsia="宋体" w:cs="宋体"/>
          <w:szCs w:val="20"/>
          <w:lang w:eastAsia="zh-CN"/>
        </w:rPr>
        <w:t>检验结果中，有任一项不合格时，允许用留样进行复检，以复检结果为准。</w:t>
      </w:r>
    </w:p>
    <w:p>
      <w:pPr>
        <w:pStyle w:val="15"/>
        <w:widowControl/>
        <w:numPr>
          <w:ilvl w:val="0"/>
          <w:numId w:val="2"/>
        </w:numPr>
        <w:spacing w:before="0" w:beforeLines="0" w:beforeAutospacing="0" w:after="0" w:afterLines="0" w:afterAutospacing="0"/>
        <w:ind w:left="0" w:right="0" w:firstLine="0"/>
      </w:pPr>
      <w:r>
        <w:rPr>
          <w:lang w:eastAsia="zh-CN"/>
        </w:rPr>
        <w:t xml:space="preserve">标志、包装、运输、贮存 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Ansi="宋体"/>
          <w:lang w:val="en-US"/>
        </w:rPr>
      </w:pPr>
      <w:r>
        <w:rPr>
          <w:rFonts w:hAnsi="宋体"/>
          <w:lang w:eastAsia="zh-CN"/>
        </w:rPr>
        <w:t>标志</w:t>
      </w:r>
      <w:r>
        <w:rPr>
          <w:rFonts w:hAnsi="宋体"/>
          <w:lang w:val="en-US"/>
        </w:rPr>
        <w:t xml:space="preserve"> </w:t>
      </w:r>
    </w:p>
    <w:p>
      <w:pPr>
        <w:pStyle w:val="22"/>
        <w:widowControl/>
        <w:numPr>
          <w:ilvl w:val="2"/>
          <w:numId w:val="2"/>
        </w:numPr>
        <w:tabs>
          <w:tab w:val="left" w:pos="420"/>
          <w:tab w:val="clear" w:pos="1418"/>
        </w:tabs>
        <w:ind w:left="0" w:firstLine="0"/>
      </w:pPr>
      <w:r>
        <w:rPr>
          <w:lang w:eastAsia="zh-CN"/>
        </w:rPr>
        <w:t>产品的标签应符合</w:t>
      </w:r>
      <w:r>
        <w:rPr>
          <w:rFonts w:hint="default" w:ascii="Times New Roman" w:hAnsi="Times New Roman" w:cs="Times New Roman"/>
          <w:lang w:val="en-US"/>
        </w:rPr>
        <w:t>GB 7718</w:t>
      </w:r>
      <w:r>
        <w:rPr>
          <w:rFonts w:ascii="Times New Roman"/>
          <w:lang w:eastAsia="zh-CN"/>
        </w:rPr>
        <w:t>和</w:t>
      </w:r>
      <w:r>
        <w:rPr>
          <w:rFonts w:hint="default" w:ascii="Times New Roman" w:hAnsi="Times New Roman" w:cs="Times New Roman"/>
          <w:lang w:val="en-US"/>
        </w:rPr>
        <w:t>GB 28050</w:t>
      </w:r>
      <w:r>
        <w:rPr>
          <w:lang w:eastAsia="zh-CN"/>
        </w:rPr>
        <w:t>的规定。</w:t>
      </w:r>
    </w:p>
    <w:p>
      <w:pPr>
        <w:pStyle w:val="22"/>
        <w:widowControl/>
        <w:numPr>
          <w:ilvl w:val="2"/>
          <w:numId w:val="2"/>
        </w:numPr>
        <w:tabs>
          <w:tab w:val="left" w:pos="420"/>
          <w:tab w:val="clear" w:pos="1418"/>
        </w:tabs>
        <w:ind w:left="0" w:firstLine="0"/>
      </w:pPr>
      <w:r>
        <w:rPr>
          <w:rFonts w:ascii="Times New Roman"/>
          <w:lang w:eastAsia="zh-CN"/>
        </w:rPr>
        <w:t>外包装储运图示标志应符合</w:t>
      </w:r>
      <w:r>
        <w:rPr>
          <w:rFonts w:hint="default" w:ascii="Times New Roman" w:hAnsi="Times New Roman" w:cs="Times New Roman"/>
          <w:lang w:val="en-US"/>
        </w:rPr>
        <w:t>GB/T 191</w:t>
      </w:r>
      <w:r>
        <w:rPr>
          <w:rFonts w:ascii="Times New Roman"/>
          <w:lang w:eastAsia="zh-CN"/>
        </w:rPr>
        <w:t>的规定。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Ansi="宋体"/>
          <w:lang w:val="en-US"/>
        </w:rPr>
      </w:pPr>
      <w:r>
        <w:rPr>
          <w:rFonts w:hAnsi="宋体"/>
          <w:lang w:eastAsia="zh-CN"/>
        </w:rPr>
        <w:t>包装</w:t>
      </w:r>
    </w:p>
    <w:p>
      <w:pPr>
        <w:pStyle w:val="11"/>
        <w:widowControl/>
      </w:pPr>
      <w:r>
        <w:rPr>
          <w:rFonts w:ascii="Times New Roman"/>
          <w:lang w:eastAsia="zh-CN"/>
        </w:rPr>
        <w:t>包装材料和容器</w:t>
      </w:r>
      <w:r>
        <w:rPr>
          <w:lang w:eastAsia="zh-CN"/>
        </w:rPr>
        <w:t>应符合相应的食品安全标准和有关卫生要求。封口严密、包装牢固。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Ansi="宋体"/>
          <w:lang w:val="en-US"/>
        </w:rPr>
      </w:pPr>
      <w:r>
        <w:rPr>
          <w:rFonts w:hAnsi="宋体"/>
          <w:lang w:eastAsia="zh-CN"/>
        </w:rPr>
        <w:t>运输</w:t>
      </w:r>
    </w:p>
    <w:p>
      <w:pPr>
        <w:pStyle w:val="11"/>
        <w:widowControl/>
      </w:pPr>
      <w:r>
        <w:rPr>
          <w:lang w:eastAsia="zh-CN"/>
        </w:rPr>
        <w:t>运输工具应清洁、干燥、不得与有毒、有害、或影响产品质量的物品混装、混运。运输时应防止日晒雨淋。装卸时应轻搬、轻放，不得抛掷、重压和挤压。</w:t>
      </w:r>
    </w:p>
    <w:p>
      <w:pPr>
        <w:pStyle w:val="10"/>
        <w:widowControl/>
        <w:numPr>
          <w:ilvl w:val="1"/>
          <w:numId w:val="2"/>
        </w:numPr>
        <w:tabs>
          <w:tab w:val="left" w:pos="420"/>
          <w:tab w:val="clear" w:pos="992"/>
        </w:tabs>
        <w:spacing w:before="0" w:beforeLines="0" w:beforeAutospacing="0" w:after="0" w:afterLines="0" w:afterAutospacing="0"/>
        <w:ind w:left="0" w:right="0" w:firstLine="0"/>
        <w:rPr>
          <w:rFonts w:hint="eastAsia" w:ascii="宋体" w:hAnsi="Times New Roman" w:eastAsia="宋体" w:cs="宋体"/>
          <w:szCs w:val="20"/>
          <w:lang w:val="en-US"/>
        </w:rPr>
      </w:pPr>
      <w:r>
        <w:rPr>
          <w:rFonts w:hint="eastAsia" w:ascii="宋体" w:hAnsi="Times New Roman" w:eastAsia="宋体" w:cs="宋体"/>
          <w:szCs w:val="20"/>
          <w:lang w:eastAsia="zh-CN"/>
        </w:rPr>
        <w:t>贮存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25" w:firstLineChars="25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Calibri" w:eastAsia="宋体" w:cs="宋体"/>
          <w:kern w:val="2"/>
          <w:sz w:val="21"/>
          <w:szCs w:val="24"/>
          <w:lang w:val="en-US" w:eastAsia="zh-CN" w:bidi="ar"/>
        </w:rPr>
        <w:t>原料、辅料、半成品、成品应分开放置，应贮存在</w:t>
      </w:r>
      <w:r>
        <w:rPr>
          <w:rFonts w:hint="eastAsia" w:ascii="Times New Roman" w:hAnsi="Calibri" w:eastAsia="宋体" w:cs="宋体"/>
          <w:kern w:val="0"/>
          <w:sz w:val="21"/>
          <w:szCs w:val="24"/>
          <w:lang w:val="en-US" w:eastAsia="zh-CN" w:bidi="ar"/>
        </w:rPr>
        <w:t>干燥、通风的室内</w:t>
      </w:r>
      <w:r>
        <w:rPr>
          <w:rFonts w:hint="eastAsia" w:ascii="Times New Roman" w:hAnsi="Calibri" w:eastAsia="宋体" w:cs="宋体"/>
          <w:kern w:val="2"/>
          <w:sz w:val="21"/>
          <w:szCs w:val="24"/>
          <w:lang w:val="en-US" w:eastAsia="zh-CN" w:bidi="ar"/>
        </w:rPr>
        <w:t>，并有防尘、防蝇、防虫、防鼠设施。产品应离地、离墙堆放</w:t>
      </w:r>
      <w:r>
        <w:rPr>
          <w:rFonts w:hint="eastAsia" w:ascii="宋体" w:hAnsi="Calibri" w:eastAsia="宋体" w:cs="宋体"/>
          <w:kern w:val="0"/>
          <w:sz w:val="21"/>
          <w:szCs w:val="20"/>
          <w:lang w:val="en-US" w:eastAsia="zh-CN" w:bidi="ar"/>
        </w:rPr>
        <w:t>。</w:t>
      </w:r>
      <w:r>
        <w:rPr>
          <w:rFonts w:hint="eastAsia" w:ascii="Times New Roman" w:hAnsi="Calibri" w:eastAsia="宋体" w:cs="宋体"/>
          <w:kern w:val="2"/>
          <w:sz w:val="21"/>
          <w:szCs w:val="24"/>
          <w:lang w:val="en-US" w:eastAsia="zh-CN" w:bidi="ar"/>
        </w:rPr>
        <w:t>严禁与有毒、有害、有异味、有腐蚀、易污染的物品混贮。</w:t>
      </w:r>
      <w:r>
        <w:rPr>
          <w:rFonts w:hint="eastAsia" w:ascii="宋体" w:hAnsi="Calibri" w:eastAsia="宋体" w:cs="宋体"/>
          <w:kern w:val="2"/>
          <w:sz w:val="21"/>
          <w:szCs w:val="20"/>
          <w:lang w:val="en-US" w:eastAsia="zh-CN" w:bidi="ar"/>
        </w:rPr>
        <w:t>。</w:t>
      </w:r>
      <w:r>
        <w:rPr>
          <w:rFonts w:hint="default" w:ascii="Calibri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8"/>
        <w:framePr w:hSpace="181" w:vSpace="181" w:wrap="around" w:vAnchor="text" w:hAnchor="margin" w:xAlign="center" w:y="2"/>
        <w:widowControl/>
      </w:pPr>
      <w:r>
        <w:rPr>
          <w:lang w:val="en-US"/>
        </w:rPr>
        <w:t>_________________________________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p/>
    <w:sectPr>
      <w:pgSz w:w="11906" w:h="16838"/>
      <w:pgMar w:top="567" w:right="1135" w:bottom="1135" w:left="1418" w:header="1418" w:footer="1135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Hiragino Sans">
    <w:panose1 w:val="020B0500000000000000"/>
    <w:charset w:val="80"/>
    <w:family w:val="auto"/>
    <w:pitch w:val="default"/>
    <w:sig w:usb0="E00002FF" w:usb1="7AE7FFFF" w:usb2="00000012" w:usb3="00000000" w:csb0="0002000D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89600"/>
    <w:multiLevelType w:val="multilevel"/>
    <w:tmpl w:val="8ED89600"/>
    <w:lvl w:ilvl="0" w:tentative="0">
      <w:start w:val="1"/>
      <w:numFmt w:val="lowerLetter"/>
      <w:lvlText w:val="%1）"/>
      <w:lvlJc w:val="left"/>
      <w:pPr>
        <w:ind w:left="786" w:hanging="360"/>
      </w:pPr>
      <w:rPr>
        <w:rFonts w:hAnsi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C1F146EC"/>
    <w:multiLevelType w:val="multilevel"/>
    <w:tmpl w:val="C1F146EC"/>
    <w:lvl w:ilvl="0" w:tentative="0">
      <w:start w:val="1"/>
      <w:numFmt w:val="decimal"/>
      <w:pStyle w:val="15"/>
      <w:suff w:val="nothing"/>
      <w:lvlText w:val="表%1　"/>
      <w:lvlJc w:val="left"/>
      <w:pPr>
        <w:ind w:left="378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1" w:tentative="0">
      <w:start w:val="1"/>
      <w:numFmt w:val="decimal"/>
      <w:pStyle w:val="10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pStyle w:val="22"/>
      <w:lvlText w:val="%1.%2.%3"/>
      <w:lvlJc w:val="left"/>
      <w:pPr>
        <w:tabs>
          <w:tab w:val="left" w:pos="1418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5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7B940B30"/>
    <w:multiLevelType w:val="multilevel"/>
    <w:tmpl w:val="7B940B30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709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  <w:lang w:val="en-US"/>
      </w:rPr>
    </w:lvl>
    <w:lvl w:ilvl="2" w:tentative="0">
      <w:start w:val="1"/>
      <w:numFmt w:val="decimal"/>
      <w:suff w:val="nothing"/>
      <w:lvlText w:val="%1.%2.%3　"/>
      <w:lvlJc w:val="left"/>
      <w:pPr>
        <w:ind w:left="426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MTI3ZDUxMWUyNmNlZjhhYWUxZTJkNDI5YTJlN2QifQ=="/>
  </w:docVars>
  <w:rsids>
    <w:rsidRoot w:val="00000000"/>
    <w:rsid w:val="10D254CA"/>
    <w:rsid w:val="32DB5E6E"/>
    <w:rsid w:val="5F371063"/>
    <w:rsid w:val="FAFFE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hint="default" w:ascii="Times New Roman" w:hAnsi="Times New Roman" w:eastAsia="宋体" w:cs="Times New Roman"/>
      <w:sz w:val="18"/>
    </w:rPr>
  </w:style>
  <w:style w:type="paragraph" w:customStyle="1" w:styleId="8">
    <w:name w:val="终结线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character" w:customStyle="1" w:styleId="9">
    <w:name w:val="一级条标题 Char"/>
    <w:basedOn w:val="5"/>
    <w:link w:val="10"/>
    <w:qFormat/>
    <w:uiPriority w:val="0"/>
    <w:rPr>
      <w:rFonts w:hint="eastAsia" w:ascii="黑体" w:hAnsi="宋体" w:eastAsia="黑体" w:cs="黑体"/>
      <w:sz w:val="21"/>
      <w:szCs w:val="21"/>
    </w:rPr>
  </w:style>
  <w:style w:type="paragraph" w:customStyle="1" w:styleId="10">
    <w:name w:val="一级条标题"/>
    <w:basedOn w:val="1"/>
    <w:next w:val="11"/>
    <w:link w:val="9"/>
    <w:qFormat/>
    <w:uiPriority w:val="0"/>
    <w:pPr>
      <w:keepNext w:val="0"/>
      <w:keepLines w:val="0"/>
      <w:widowControl/>
      <w:numPr>
        <w:ilvl w:val="1"/>
        <w:numId w:val="1"/>
      </w:numPr>
      <w:suppressLineNumbers w:val="0"/>
      <w:spacing w:before="156" w:beforeLines="50" w:beforeAutospacing="0" w:after="156" w:afterLines="50" w:afterAutospacing="0"/>
      <w:ind w:left="992" w:right="0" w:hanging="567"/>
      <w:jc w:val="left"/>
      <w:outlineLvl w:val="2"/>
    </w:pPr>
    <w:rPr>
      <w:rFonts w:hint="eastAsia" w:ascii="黑体" w:hAnsi="Times New Roman" w:eastAsia="黑体" w:cs="Times New Roman"/>
      <w:kern w:val="0"/>
      <w:sz w:val="21"/>
      <w:szCs w:val="21"/>
      <w:lang w:val="en-US" w:eastAsia="zh-CN" w:bidi="ar"/>
    </w:rPr>
  </w:style>
  <w:style w:type="paragraph" w:customStyle="1" w:styleId="11">
    <w:name w:val="段"/>
    <w:basedOn w:val="1"/>
    <w:link w:val="20"/>
    <w:qFormat/>
    <w:uiPriority w:val="0"/>
    <w:pPr>
      <w:keepNext w:val="0"/>
      <w:keepLines w:val="0"/>
      <w:widowControl/>
      <w:suppressLineNumbers w:val="0"/>
      <w:tabs>
        <w:tab w:val="center" w:pos="4201"/>
        <w:tab w:val="right" w:leader="dot" w:pos="9298"/>
      </w:tabs>
      <w:autoSpaceDE w:val="0"/>
      <w:autoSpaceDN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Times New Roman" w:eastAsia="宋体" w:cs="Times New Roman"/>
      <w:kern w:val="0"/>
      <w:sz w:val="21"/>
      <w:szCs w:val="20"/>
      <w:lang w:val="en-US" w:eastAsia="zh-CN" w:bidi="ar"/>
    </w:rPr>
  </w:style>
  <w:style w:type="paragraph" w:customStyle="1" w:styleId="12">
    <w:name w:val="二级条标题"/>
    <w:basedOn w:val="10"/>
    <w:next w:val="11"/>
    <w:qFormat/>
    <w:uiPriority w:val="0"/>
    <w:pPr>
      <w:keepNext w:val="0"/>
      <w:keepLines w:val="0"/>
      <w:widowControl/>
      <w:numPr>
        <w:ilvl w:val="2"/>
        <w:numId w:val="1"/>
      </w:numPr>
      <w:suppressLineNumbers w:val="0"/>
      <w:tabs>
        <w:tab w:val="clear" w:pos="992"/>
      </w:tabs>
      <w:spacing w:before="50" w:beforeLines="50" w:beforeAutospacing="0" w:after="50" w:afterLines="50" w:afterAutospacing="0"/>
      <w:ind w:left="1418" w:right="0" w:hanging="567"/>
      <w:jc w:val="left"/>
      <w:outlineLvl w:val="3"/>
    </w:pPr>
    <w:rPr>
      <w:rFonts w:hint="eastAsia" w:ascii="黑体" w:hAnsi="Times New Roman" w:eastAsia="黑体" w:cs="Times New Roman"/>
      <w:kern w:val="0"/>
      <w:sz w:val="21"/>
      <w:szCs w:val="21"/>
      <w:lang w:val="en-US" w:eastAsia="zh-CN" w:bidi="ar"/>
    </w:rPr>
  </w:style>
  <w:style w:type="character" w:customStyle="1" w:styleId="13">
    <w:name w:val="页脚 Char"/>
    <w:basedOn w:val="5"/>
    <w:link w:val="2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4">
    <w:name w:val="章标题 Char"/>
    <w:basedOn w:val="5"/>
    <w:link w:val="15"/>
    <w:qFormat/>
    <w:uiPriority w:val="0"/>
    <w:rPr>
      <w:rFonts w:hint="eastAsia" w:ascii="黑体" w:hAnsi="宋体" w:eastAsia="黑体" w:cs="黑体"/>
      <w:sz w:val="21"/>
    </w:rPr>
  </w:style>
  <w:style w:type="paragraph" w:customStyle="1" w:styleId="15">
    <w:name w:val="章标题"/>
    <w:basedOn w:val="1"/>
    <w:next w:val="11"/>
    <w:link w:val="14"/>
    <w:qFormat/>
    <w:uiPriority w:val="0"/>
    <w:pPr>
      <w:keepNext w:val="0"/>
      <w:keepLines w:val="0"/>
      <w:widowControl/>
      <w:numPr>
        <w:ilvl w:val="0"/>
        <w:numId w:val="1"/>
      </w:numPr>
      <w:suppressLineNumbers w:val="0"/>
      <w:spacing w:before="312" w:beforeLines="100" w:beforeAutospacing="0" w:after="312" w:afterLines="100" w:afterAutospacing="0"/>
      <w:ind w:left="3780" w:right="0" w:firstLine="0"/>
      <w:jc w:val="both"/>
      <w:outlineLvl w:val="1"/>
    </w:pPr>
    <w:rPr>
      <w:rFonts w:hint="eastAsia" w:ascii="黑体" w:hAnsi="Times New Roman" w:eastAsia="黑体" w:cs="Times New Roman"/>
      <w:kern w:val="0"/>
      <w:sz w:val="21"/>
      <w:szCs w:val="20"/>
      <w:lang w:val="en-US" w:eastAsia="zh-CN" w:bidi="ar"/>
    </w:rPr>
  </w:style>
  <w:style w:type="paragraph" w:customStyle="1" w:styleId="16">
    <w:name w:val="前言、引言标题"/>
    <w:basedOn w:val="1"/>
    <w:next w:val="11"/>
    <w:qFormat/>
    <w:uiPriority w:val="0"/>
    <w:pPr>
      <w:keepNext/>
      <w:keepLines w:val="0"/>
      <w:pageBreakBefore/>
      <w:widowControl/>
      <w:suppressLineNumbers w:val="0"/>
      <w:shd w:val="clear" w:fill="FFFFFF"/>
      <w:spacing w:before="640" w:beforeAutospacing="0" w:after="560" w:afterAutospacing="0"/>
      <w:ind w:left="0" w:right="0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20"/>
      <w:lang w:val="en-US" w:eastAsia="zh-CN" w:bidi="ar"/>
    </w:rPr>
  </w:style>
  <w:style w:type="character" w:customStyle="1" w:styleId="17">
    <w:name w:val="发布部门 Char"/>
    <w:basedOn w:val="5"/>
    <w:qFormat/>
    <w:uiPriority w:val="0"/>
    <w:rPr>
      <w:rFonts w:hint="eastAsia" w:ascii="宋体" w:hAnsi="宋体" w:eastAsia="宋体" w:cs="宋体"/>
      <w:b/>
      <w:spacing w:val="20"/>
      <w:w w:val="135"/>
      <w:sz w:val="28"/>
    </w:rPr>
  </w:style>
  <w:style w:type="paragraph" w:customStyle="1" w:styleId="18">
    <w:name w:val="正文表标题"/>
    <w:basedOn w:val="1"/>
    <w:next w:val="11"/>
    <w:qFormat/>
    <w:uiPriority w:val="0"/>
    <w:pPr>
      <w:keepNext w:val="0"/>
      <w:keepLines w:val="0"/>
      <w:widowControl/>
      <w:suppressLineNumbers w:val="0"/>
      <w:tabs>
        <w:tab w:val="left" w:pos="360"/>
      </w:tabs>
      <w:spacing w:before="156" w:beforeLines="50" w:beforeAutospacing="0" w:after="156" w:afterLines="50" w:afterAutospacing="0"/>
      <w:ind w:left="0" w:right="0" w:firstLine="0"/>
      <w:jc w:val="center"/>
    </w:pPr>
    <w:rPr>
      <w:rFonts w:hint="eastAsia" w:ascii="黑体" w:hAnsi="Times New Roman" w:eastAsia="黑体" w:cs="Times New Roman"/>
      <w:kern w:val="0"/>
      <w:sz w:val="21"/>
      <w:szCs w:val="20"/>
      <w:lang w:val="en-US" w:eastAsia="zh-CN" w:bidi="ar"/>
    </w:rPr>
  </w:style>
  <w:style w:type="character" w:customStyle="1" w:styleId="19">
    <w:name w:val="页眉 Char"/>
    <w:basedOn w:val="5"/>
    <w:link w:val="3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0">
    <w:name w:val="段 Char"/>
    <w:basedOn w:val="5"/>
    <w:link w:val="11"/>
    <w:qFormat/>
    <w:uiPriority w:val="0"/>
    <w:rPr>
      <w:rFonts w:hint="eastAsia" w:ascii="宋体" w:hAnsi="宋体" w:eastAsia="宋体" w:cs="宋体"/>
      <w:sz w:val="21"/>
    </w:rPr>
  </w:style>
  <w:style w:type="paragraph" w:customStyle="1" w:styleId="21">
    <w:name w:val="目次、标准名称标题"/>
    <w:basedOn w:val="1"/>
    <w:next w:val="11"/>
    <w:qFormat/>
    <w:uiPriority w:val="0"/>
    <w:pPr>
      <w:keepNext/>
      <w:keepLines w:val="0"/>
      <w:pageBreakBefore/>
      <w:widowControl/>
      <w:suppressLineNumbers w:val="0"/>
      <w:shd w:val="clear" w:fill="FFFFFF"/>
      <w:spacing w:before="640" w:beforeAutospacing="0" w:after="560" w:afterAutospacing="0" w:line="460" w:lineRule="exact"/>
      <w:ind w:left="0" w:right="0"/>
      <w:jc w:val="center"/>
      <w:outlineLvl w:val="0"/>
    </w:pPr>
    <w:rPr>
      <w:rFonts w:hint="eastAsia" w:ascii="黑体" w:hAnsi="Calibri" w:eastAsia="黑体" w:cs="Times New Roman"/>
      <w:kern w:val="0"/>
      <w:sz w:val="32"/>
      <w:szCs w:val="20"/>
      <w:lang w:val="en-US" w:eastAsia="zh-CN" w:bidi="ar"/>
    </w:rPr>
  </w:style>
  <w:style w:type="paragraph" w:customStyle="1" w:styleId="22">
    <w:name w:val="二级无"/>
    <w:basedOn w:val="12"/>
    <w:qFormat/>
    <w:uiPriority w:val="0"/>
    <w:pPr>
      <w:keepNext w:val="0"/>
      <w:keepLines w:val="0"/>
      <w:widowControl/>
      <w:numPr>
        <w:ilvl w:val="2"/>
        <w:numId w:val="1"/>
      </w:numPr>
      <w:suppressLineNumbers w:val="0"/>
      <w:spacing w:before="0" w:beforeLines="-2147483648" w:beforeAutospacing="0" w:after="0" w:afterLines="-2147483648" w:afterAutospacing="0"/>
      <w:ind w:left="0" w:right="0" w:hanging="567"/>
      <w:jc w:val="left"/>
      <w:outlineLvl w:val="3"/>
    </w:pPr>
    <w:rPr>
      <w:rFonts w:hint="eastAsia" w:ascii="宋体" w:hAnsi="Times New Roman" w:eastAsia="宋体" w:cs="Times New Roman"/>
      <w:kern w:val="0"/>
      <w:sz w:val="21"/>
      <w:szCs w:val="21"/>
      <w:lang w:val="en-US" w:eastAsia="zh-CN" w:bidi="ar"/>
    </w:rPr>
  </w:style>
  <w:style w:type="paragraph" w:customStyle="1" w:styleId="23">
    <w:name w:val="List 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652" w:right="0" w:hanging="536"/>
      <w:jc w:val="left"/>
    </w:pPr>
    <w:rPr>
      <w:rFonts w:hint="eastAsia" w:ascii="Arial Unicode MS" w:hAnsi="Arial Unicode MS" w:eastAsia="Arial Unicode MS" w:cs="Arial Unicode MS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2245</Words>
  <Characters>2483</Characters>
  <Lines>0</Lines>
  <Paragraphs>0</Paragraphs>
  <TotalTime>0</TotalTime>
  <ScaleCrop>false</ScaleCrop>
  <LinksUpToDate>false</LinksUpToDate>
  <CharactersWithSpaces>2622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2022-11-24T15:37:00Z</dcterms:created>
  <dc:creator>Administrator</dc:creator>
  <cp:lastModifiedBy>pinhu</cp:lastModifiedBy>
  <dcterms:modified xsi:type="dcterms:W3CDTF">2022-11-25T11:35:10Z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9092458EFEF04DC2BD4EA47BB569B38C</vt:lpwstr>
  </property>
</Properties>
</file>